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D7" w:rsidRDefault="00CF36D7" w:rsidP="00CF36D7">
      <w:pPr>
        <w:pStyle w:val="Otsikko2"/>
        <w:jc w:val="both"/>
      </w:pPr>
      <w:bookmarkStart w:id="0" w:name="_Toc525290235"/>
      <w:bookmarkStart w:id="1" w:name="_Toc521151905"/>
      <w:bookmarkStart w:id="2" w:name="_GoBack"/>
      <w:r>
        <w:t xml:space="preserve">Muutoksen ihanuus ja kurjuus </w:t>
      </w:r>
      <w:bookmarkEnd w:id="0"/>
      <w:bookmarkEnd w:id="1"/>
    </w:p>
    <w:bookmarkEnd w:id="2"/>
    <w:p w:rsidR="00CF36D7" w:rsidRDefault="00CF36D7" w:rsidP="00CF36D7">
      <w:pPr>
        <w:pStyle w:val="Eivli"/>
        <w:jc w:val="both"/>
        <w:rPr>
          <w:szCs w:val="24"/>
        </w:rPr>
      </w:pPr>
      <w:r>
        <w:rPr>
          <w:b/>
          <w:szCs w:val="24"/>
        </w:rPr>
        <w:t>Kohderyhmä</w:t>
      </w:r>
      <w:r>
        <w:rPr>
          <w:szCs w:val="24"/>
        </w:rPr>
        <w:t>: Pääluottamusmiehet, luottamusmiehet, varaluottamusmiehet, työsuojeluvaltuutetut ja työsuojelun varavaltuutetut sekä kaikki aiheesta kiinnostuneet.</w:t>
      </w:r>
    </w:p>
    <w:p w:rsidR="00CF36D7" w:rsidRDefault="00CF36D7" w:rsidP="00CF36D7">
      <w:pPr>
        <w:pStyle w:val="Eivli"/>
        <w:jc w:val="both"/>
      </w:pPr>
    </w:p>
    <w:p w:rsidR="00CF36D7" w:rsidRDefault="00CF36D7" w:rsidP="00CF36D7">
      <w:pPr>
        <w:pStyle w:val="Eivli"/>
        <w:jc w:val="both"/>
      </w:pPr>
      <w:r>
        <w:rPr>
          <w:b/>
        </w:rPr>
        <w:t xml:space="preserve">Tavoite ja sisältö: </w:t>
      </w:r>
      <w:r>
        <w:t xml:space="preserve">Tavoitteena on oppia hallitsemaan muutosta, oppia tunnistamaan tarpeita, jotka aiheuttavat </w:t>
      </w:r>
      <w:proofErr w:type="spellStart"/>
      <w:r>
        <w:t>muutosvastarintaa</w:t>
      </w:r>
      <w:proofErr w:type="spellEnd"/>
      <w:r>
        <w:t xml:space="preserve">, saada käytännön esimerkkien kautta tietoa onnistuneen muutoksen läpiviemisestä sekä oppia johtamaan </w:t>
      </w:r>
      <w:r>
        <w:rPr>
          <w:rStyle w:val="EivliChar"/>
        </w:rPr>
        <w:t>itseään</w:t>
      </w:r>
      <w:r>
        <w:t xml:space="preserve"> ja muita tietoisen ja mahdollistavan roolin valintaan muutoksen onnistumiseksi. Lisäksi osanottaja saa myös hyviä työkaluja ja käytäntöjä onnistuneen muutoksen toteuttamisen eri vaiheisiin.</w:t>
      </w:r>
    </w:p>
    <w:p w:rsidR="00CF36D7" w:rsidRDefault="00CF36D7" w:rsidP="00CF36D7">
      <w:pPr>
        <w:pStyle w:val="Eivli"/>
        <w:jc w:val="both"/>
      </w:pPr>
    </w:p>
    <w:p w:rsidR="00CF36D7" w:rsidRDefault="00CF36D7" w:rsidP="00CF36D7">
      <w:pPr>
        <w:pStyle w:val="Eivli"/>
        <w:jc w:val="both"/>
        <w:rPr>
          <w:b/>
        </w:rPr>
      </w:pPr>
      <w:r>
        <w:rPr>
          <w:b/>
        </w:rPr>
        <w:t>Ohjelma:</w:t>
      </w:r>
    </w:p>
    <w:p w:rsidR="00CF36D7" w:rsidRDefault="00CF36D7" w:rsidP="00CF36D7">
      <w:pPr>
        <w:pStyle w:val="Eivli"/>
        <w:jc w:val="both"/>
      </w:pPr>
      <w:r>
        <w:rPr>
          <w:b/>
        </w:rPr>
        <w:t>Muutoksen määrittely</w:t>
      </w:r>
      <w:r>
        <w:t>: Kolme tärkeää kysymystä, miksi, miten, mitä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>Muutosjohtaminen: Tulevaisuus ei putoa tyhjästä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>Erilaiset näkemykset tulevaisuudesta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>Menestyvä työyhteisö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 xml:space="preserve">Muutos perustuu toiminnalle ja oppimiselle! 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>Mitä muutoksen onnistuminen edellyttää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>Yleisimmät muutoksen epäonnistumiseen johtavat syyt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>Muutoksen hallinnan portaikko</w:t>
      </w:r>
    </w:p>
    <w:p w:rsidR="00CF36D7" w:rsidRDefault="00CF36D7" w:rsidP="00CF36D7">
      <w:pPr>
        <w:pStyle w:val="Eivli"/>
        <w:numPr>
          <w:ilvl w:val="0"/>
          <w:numId w:val="1"/>
        </w:numPr>
        <w:jc w:val="both"/>
      </w:pPr>
      <w:r>
        <w:t xml:space="preserve">Muutoksen vaiheet </w:t>
      </w:r>
    </w:p>
    <w:p w:rsidR="00CF36D7" w:rsidRDefault="00CF36D7" w:rsidP="00CF36D7">
      <w:pPr>
        <w:pStyle w:val="Eivli"/>
        <w:jc w:val="both"/>
      </w:pPr>
    </w:p>
    <w:p w:rsidR="00CF36D7" w:rsidRDefault="00CF36D7" w:rsidP="00CF36D7">
      <w:pPr>
        <w:pStyle w:val="Eivli"/>
        <w:jc w:val="both"/>
        <w:rPr>
          <w:b/>
        </w:rPr>
      </w:pPr>
      <w:r>
        <w:rPr>
          <w:b/>
        </w:rPr>
        <w:t>Minä muutoksessa, suhtautuminen muutoksiin</w:t>
      </w:r>
    </w:p>
    <w:p w:rsidR="00CF36D7" w:rsidRDefault="00CF36D7" w:rsidP="00CF36D7">
      <w:pPr>
        <w:pStyle w:val="Eivli"/>
        <w:numPr>
          <w:ilvl w:val="0"/>
          <w:numId w:val="2"/>
        </w:numPr>
        <w:jc w:val="both"/>
      </w:pPr>
      <w:r>
        <w:t>Selkeyttä muutokseen: mitä muutos tarkoittaa minulle</w:t>
      </w:r>
    </w:p>
    <w:p w:rsidR="00CF36D7" w:rsidRDefault="00CF36D7" w:rsidP="00CF36D7">
      <w:pPr>
        <w:pStyle w:val="Eivli"/>
        <w:numPr>
          <w:ilvl w:val="0"/>
          <w:numId w:val="2"/>
        </w:numPr>
        <w:jc w:val="both"/>
      </w:pPr>
      <w:r>
        <w:t>Myönteiset odotukset ja ennakkokäsitykset, muutosvalmius</w:t>
      </w:r>
    </w:p>
    <w:p w:rsidR="00CF36D7" w:rsidRDefault="00CF36D7" w:rsidP="00CF36D7">
      <w:pPr>
        <w:pStyle w:val="Eivli"/>
        <w:numPr>
          <w:ilvl w:val="0"/>
          <w:numId w:val="2"/>
        </w:numPr>
        <w:jc w:val="both"/>
      </w:pPr>
      <w:r>
        <w:t>Tyytyväisyys muutokseen, sen läpivientiin ja tuloksiin</w:t>
      </w:r>
    </w:p>
    <w:p w:rsidR="00CF36D7" w:rsidRDefault="00CF36D7" w:rsidP="00CF36D7">
      <w:pPr>
        <w:pStyle w:val="Eivli"/>
        <w:numPr>
          <w:ilvl w:val="0"/>
          <w:numId w:val="2"/>
        </w:numPr>
        <w:jc w:val="both"/>
      </w:pPr>
      <w:proofErr w:type="spellStart"/>
      <w:r>
        <w:t>Muutosvastarinta</w:t>
      </w:r>
      <w:proofErr w:type="spellEnd"/>
      <w:r>
        <w:t xml:space="preserve"> - Muutokseen reagoinnin tapoja ja muutos prosessina</w:t>
      </w:r>
    </w:p>
    <w:p w:rsidR="00CF36D7" w:rsidRDefault="00CF36D7" w:rsidP="00CF36D7">
      <w:pPr>
        <w:pStyle w:val="Eivli"/>
        <w:numPr>
          <w:ilvl w:val="0"/>
          <w:numId w:val="2"/>
        </w:numPr>
        <w:jc w:val="both"/>
      </w:pPr>
      <w:r>
        <w:t>Mikä muutoksessa huolestuttaa tai epäilyttää?</w:t>
      </w:r>
    </w:p>
    <w:p w:rsidR="00CF36D7" w:rsidRDefault="00CF36D7" w:rsidP="00CF36D7">
      <w:pPr>
        <w:pStyle w:val="Eivli"/>
        <w:numPr>
          <w:ilvl w:val="0"/>
          <w:numId w:val="2"/>
        </w:numPr>
        <w:jc w:val="both"/>
      </w:pPr>
      <w:r>
        <w:t>Miten toimitaan oikeassa muutoshengessä</w:t>
      </w:r>
    </w:p>
    <w:p w:rsidR="00CF36D7" w:rsidRDefault="00CF36D7" w:rsidP="00CF36D7">
      <w:pPr>
        <w:pStyle w:val="Eivli"/>
        <w:numPr>
          <w:ilvl w:val="0"/>
          <w:numId w:val="2"/>
        </w:numPr>
        <w:jc w:val="both"/>
      </w:pPr>
      <w:r>
        <w:t>Mihin ilmiöihin kannattaa panostaa - ja miten?</w:t>
      </w:r>
    </w:p>
    <w:p w:rsidR="00CF36D7" w:rsidRDefault="00CF36D7" w:rsidP="00CF36D7">
      <w:pPr>
        <w:pStyle w:val="Eivli"/>
        <w:jc w:val="both"/>
        <w:rPr>
          <w:b/>
        </w:rPr>
      </w:pPr>
      <w:r>
        <w:rPr>
          <w:b/>
        </w:rPr>
        <w:t>Muutos ja stressi –stressin hallinta</w:t>
      </w:r>
    </w:p>
    <w:p w:rsidR="00CF36D7" w:rsidRDefault="00CF36D7" w:rsidP="00CF36D7">
      <w:pPr>
        <w:pStyle w:val="Eivli"/>
        <w:jc w:val="both"/>
        <w:rPr>
          <w:b/>
        </w:rPr>
      </w:pPr>
      <w:r>
        <w:rPr>
          <w:b/>
        </w:rPr>
        <w:t>Muutosviestintä ja vuorovaikutus</w:t>
      </w:r>
    </w:p>
    <w:p w:rsidR="00CF36D7" w:rsidRDefault="00CF36D7" w:rsidP="00CF36D7">
      <w:pPr>
        <w:pStyle w:val="Eivli"/>
        <w:numPr>
          <w:ilvl w:val="0"/>
          <w:numId w:val="3"/>
        </w:numPr>
        <w:jc w:val="both"/>
      </w:pPr>
      <w:r>
        <w:t>Viestinnän kompastuskivistä</w:t>
      </w:r>
    </w:p>
    <w:p w:rsidR="00CF36D7" w:rsidRDefault="00CF36D7" w:rsidP="00CF36D7">
      <w:pPr>
        <w:pStyle w:val="Eivli"/>
        <w:numPr>
          <w:ilvl w:val="0"/>
          <w:numId w:val="3"/>
        </w:numPr>
        <w:jc w:val="both"/>
      </w:pPr>
      <w:r>
        <w:t>Mitä ihmiset haluavat tietää ja mitä johto kertoo muutostilanteissa?</w:t>
      </w:r>
    </w:p>
    <w:p w:rsidR="00CF36D7" w:rsidRDefault="00CF36D7" w:rsidP="00CF36D7">
      <w:pPr>
        <w:pStyle w:val="Eivli"/>
        <w:numPr>
          <w:ilvl w:val="0"/>
          <w:numId w:val="3"/>
        </w:numPr>
        <w:jc w:val="both"/>
      </w:pPr>
      <w:r>
        <w:t>Miten osallistua muutoksen viestintään</w:t>
      </w:r>
    </w:p>
    <w:p w:rsidR="00CF36D7" w:rsidRDefault="00CF36D7" w:rsidP="00CF36D7">
      <w:pPr>
        <w:pStyle w:val="Eivli"/>
        <w:numPr>
          <w:ilvl w:val="0"/>
          <w:numId w:val="3"/>
        </w:numPr>
        <w:jc w:val="both"/>
      </w:pPr>
      <w:r>
        <w:t>Mikä tekee vuorovaikutuksesta niin vaikeaa muutoksen keskellä, tunteet ja tulkinta</w:t>
      </w:r>
    </w:p>
    <w:p w:rsidR="00CF36D7" w:rsidRDefault="00CF36D7" w:rsidP="00CF36D7">
      <w:pPr>
        <w:pStyle w:val="Eivli"/>
        <w:numPr>
          <w:ilvl w:val="0"/>
          <w:numId w:val="3"/>
        </w:numPr>
        <w:jc w:val="both"/>
      </w:pPr>
      <w:r>
        <w:t>Miten toimin muutosprosessissa</w:t>
      </w:r>
    </w:p>
    <w:p w:rsidR="00CF36D7" w:rsidRDefault="00CF36D7" w:rsidP="00CF36D7">
      <w:pPr>
        <w:pStyle w:val="Eivli"/>
        <w:jc w:val="both"/>
      </w:pPr>
    </w:p>
    <w:p w:rsidR="00CF36D7" w:rsidRDefault="00CF36D7" w:rsidP="00CF36D7">
      <w:pPr>
        <w:pStyle w:val="Eivli"/>
        <w:jc w:val="both"/>
      </w:pPr>
      <w:r>
        <w:rPr>
          <w:b/>
        </w:rPr>
        <w:t>Muutostyökaluja</w:t>
      </w:r>
      <w:r>
        <w:t xml:space="preserve"> (Olennaisen kirkastaminen, Muutoksen kokonaisuuden hahmottaminen, Kohinasäädin, Muutokseen liittyvät käsitykset ja tuntemukset,</w:t>
      </w:r>
      <w:r>
        <w:rPr>
          <w:b/>
          <w:bCs/>
        </w:rPr>
        <w:t xml:space="preserve"> </w:t>
      </w:r>
      <w:r>
        <w:t xml:space="preserve">Mihin voimme vaikuttaa? Mihin emme voi vaikuttaa?) </w:t>
      </w:r>
    </w:p>
    <w:p w:rsidR="00CF36D7" w:rsidRDefault="00CF36D7" w:rsidP="00CF36D7">
      <w:pPr>
        <w:pStyle w:val="Eivli"/>
        <w:jc w:val="both"/>
      </w:pPr>
      <w:r>
        <w:t>”Muutos tapahtuu, kun uuden mallin aiheuttama innostus on voimakkaampi kuin muutoksen pelko.</w:t>
      </w:r>
    </w:p>
    <w:p w:rsidR="00976017" w:rsidRDefault="00976017"/>
    <w:sectPr w:rsidR="009760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796"/>
    <w:multiLevelType w:val="hybridMultilevel"/>
    <w:tmpl w:val="75DCD63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874148"/>
    <w:multiLevelType w:val="hybridMultilevel"/>
    <w:tmpl w:val="6C7C39F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7E173B"/>
    <w:multiLevelType w:val="hybridMultilevel"/>
    <w:tmpl w:val="F22AFF2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D7"/>
    <w:rsid w:val="00976017"/>
    <w:rsid w:val="00C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79EC"/>
  <w15:chartTrackingRefBased/>
  <w15:docId w15:val="{887BB418-B5F9-4166-99FD-EA122B7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F36D7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CF36D7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CF36D7"/>
    <w:rPr>
      <w:sz w:val="24"/>
    </w:rPr>
  </w:style>
  <w:style w:type="paragraph" w:styleId="Eivli">
    <w:name w:val="No Spacing"/>
    <w:link w:val="EivliChar"/>
    <w:uiPriority w:val="1"/>
    <w:qFormat/>
    <w:rsid w:val="00CF36D7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2018-11-06T06:44:00Z</dcterms:created>
  <dcterms:modified xsi:type="dcterms:W3CDTF">2018-11-06T06:45:00Z</dcterms:modified>
</cp:coreProperties>
</file>