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D25" w:rsidRDefault="00372D25" w:rsidP="00372D25">
      <w:pPr>
        <w:pStyle w:val="Otsikko2"/>
        <w:jc w:val="both"/>
      </w:pPr>
      <w:bookmarkStart w:id="0" w:name="_Toc525290218"/>
      <w:bookmarkStart w:id="1" w:name="_Toc521151883"/>
      <w:bookmarkStart w:id="2" w:name="_Toc409092739"/>
      <w:bookmarkStart w:id="3" w:name="_GoBack"/>
      <w:r>
        <w:t>Työsuojelun täydennyskurssit</w:t>
      </w:r>
      <w:bookmarkEnd w:id="0"/>
      <w:bookmarkEnd w:id="1"/>
      <w:bookmarkEnd w:id="2"/>
    </w:p>
    <w:bookmarkEnd w:id="3"/>
    <w:p w:rsidR="00372D25" w:rsidRDefault="00372D25" w:rsidP="00372D25">
      <w:pPr>
        <w:pStyle w:val="Eivli"/>
        <w:jc w:val="both"/>
      </w:pPr>
      <w:r>
        <w:t>Tavoitteena on syventää osallistujien työsuojelun peruskurssilla saamaa tietoa ja lisätä heidän valmiuksiaan osallistua yhteistoiminnan ja työsuojelun kehittämiseen omalla työpaikallaan. Kurssin sisältösuunnittelussa korostuu olettamus siitä, että osallistujat tuntevat keskeisen työsuojelulainsäädännön. Kurssilla päivitetään lainsäädännön ja sopimusten muuttuneet kohdat ja arvioidaan niiden vaikutuksia työsuojelutyöhön.</w:t>
      </w:r>
      <w:r>
        <w:br/>
      </w:r>
      <w:r>
        <w:br/>
        <w:t>Ikääntyvän työvoimamme työkyvyn, työmotivaation ja uudistumisvalmiuden ylläpitäminen ja kehittäminen ovat suuria kansallisia haasteita. Tässä on mahdollista onnistua vain yhteistyöllä ja kurssilla tuodaan esille niitä näkökohtia, joita työsuojeluhenkilöstön tulisi tässä yhteydessä huomioida. Paikallisten ratkaisujen ja joustavuuden esille ottaminen ikääntyvien työntekijöiden työkykykeskustelussa on välttämätöntä. Siksi kurssilla peruskurssin tavoin lisätään osallistujien neuvottelu- ja viestintävalmiuksia heidän joutuessaan palkansaajien edustajina tuomaan esille ja perustelemaan näitä näkökohtia. Kurssilla myös esitellään onnistuneita työhyvinvointi- ja työkykyhankkeita sekä hyviä työterveyshuollon toimintamalleja.</w:t>
      </w:r>
      <w:r>
        <w:br/>
      </w:r>
      <w:r>
        <w:br/>
        <w:t xml:space="preserve">Kaikkiin työsuojelun täydennyskursseihin sisältyy Työhyvinvointikortti–kurssi. Lisätietoa osoitteesta </w:t>
      </w:r>
      <w:hyperlink r:id="rId4" w:history="1">
        <w:r>
          <w:rPr>
            <w:rStyle w:val="Hyperlinkki"/>
          </w:rPr>
          <w:t>http://www.tyohyvinvointikortti.fi</w:t>
        </w:r>
      </w:hyperlink>
    </w:p>
    <w:p w:rsidR="00372D25" w:rsidRDefault="00372D25" w:rsidP="00372D25">
      <w:pPr>
        <w:pStyle w:val="Eivli"/>
        <w:jc w:val="both"/>
      </w:pPr>
    </w:p>
    <w:p w:rsidR="00372D25" w:rsidRDefault="00372D25" w:rsidP="00372D25">
      <w:pPr>
        <w:pStyle w:val="Eivli"/>
        <w:jc w:val="both"/>
      </w:pPr>
      <w:r>
        <w:rPr>
          <w:b/>
        </w:rPr>
        <w:t>1. päivä</w:t>
      </w:r>
    </w:p>
    <w:p w:rsidR="00372D25" w:rsidRDefault="00372D25" w:rsidP="00372D25">
      <w:pPr>
        <w:pStyle w:val="Eivli"/>
        <w:jc w:val="both"/>
      </w:pPr>
      <w:r>
        <w:t>Klo 10.00 – 16.30 (sis. 45 minuutin ruokailutauko)</w:t>
      </w:r>
    </w:p>
    <w:p w:rsidR="00372D25" w:rsidRDefault="00372D25" w:rsidP="00372D25">
      <w:pPr>
        <w:pStyle w:val="Eivli"/>
        <w:jc w:val="both"/>
      </w:pPr>
      <w:r>
        <w:t>K</w:t>
      </w:r>
      <w:r>
        <w:rPr>
          <w:snapToGrid w:val="0"/>
          <w:lang w:eastAsia="fi-FI"/>
        </w:rPr>
        <w:t>eskeisen työsuojelulainsäädännön kertaus</w:t>
      </w:r>
    </w:p>
    <w:p w:rsidR="00372D25" w:rsidRDefault="00372D25" w:rsidP="00372D25">
      <w:pPr>
        <w:pStyle w:val="Eivli"/>
        <w:jc w:val="both"/>
        <w:rPr>
          <w:snapToGrid w:val="0"/>
          <w:lang w:eastAsia="fi-FI"/>
        </w:rPr>
      </w:pPr>
      <w:r>
        <w:rPr>
          <w:lang w:eastAsia="fi-FI"/>
        </w:rPr>
        <w:t>T</w:t>
      </w:r>
      <w:r>
        <w:rPr>
          <w:snapToGrid w:val="0"/>
          <w:lang w:eastAsia="fi-FI"/>
        </w:rPr>
        <w:t>yöhyvinkorttikurssi käynnistyy</w:t>
      </w:r>
    </w:p>
    <w:p w:rsidR="00372D25" w:rsidRDefault="00372D25" w:rsidP="00372D25">
      <w:pPr>
        <w:pStyle w:val="Eivli"/>
        <w:ind w:firstLine="737"/>
        <w:jc w:val="both"/>
        <w:rPr>
          <w:snapToGrid w:val="0"/>
          <w:lang w:eastAsia="fi-FI"/>
        </w:rPr>
      </w:pPr>
      <w:r>
        <w:rPr>
          <w:snapToGrid w:val="0"/>
          <w:lang w:eastAsia="fi-FI"/>
        </w:rPr>
        <w:t>Näkökulmia työhyvinvointiin</w:t>
      </w:r>
    </w:p>
    <w:p w:rsidR="00372D25" w:rsidRDefault="00372D25" w:rsidP="00372D25">
      <w:pPr>
        <w:pStyle w:val="Eivli"/>
        <w:jc w:val="both"/>
        <w:rPr>
          <w:snapToGrid w:val="0"/>
          <w:lang w:eastAsia="fi-FI"/>
        </w:rPr>
      </w:pPr>
    </w:p>
    <w:p w:rsidR="00372D25" w:rsidRDefault="00372D25" w:rsidP="00372D25">
      <w:pPr>
        <w:pStyle w:val="Eivli"/>
        <w:jc w:val="both"/>
        <w:rPr>
          <w:snapToGrid w:val="0"/>
          <w:lang w:eastAsia="fi-FI"/>
        </w:rPr>
      </w:pPr>
      <w:r>
        <w:rPr>
          <w:b/>
          <w:snapToGrid w:val="0"/>
          <w:lang w:eastAsia="fi-FI"/>
        </w:rPr>
        <w:t>2. päivä</w:t>
      </w:r>
    </w:p>
    <w:p w:rsidR="00372D25" w:rsidRDefault="00372D25" w:rsidP="00372D25">
      <w:pPr>
        <w:pStyle w:val="Eivli"/>
        <w:jc w:val="both"/>
      </w:pPr>
      <w:r>
        <w:t>Klo 8.45 – 17.00 (sis. 45 minuutin ruokailutauko)</w:t>
      </w:r>
    </w:p>
    <w:p w:rsidR="00372D25" w:rsidRDefault="00372D25" w:rsidP="00372D25">
      <w:pPr>
        <w:pStyle w:val="Eivli"/>
        <w:jc w:val="both"/>
        <w:rPr>
          <w:snapToGrid w:val="0"/>
          <w:lang w:eastAsia="fi-FI"/>
        </w:rPr>
      </w:pPr>
      <w:r>
        <w:rPr>
          <w:snapToGrid w:val="0"/>
          <w:lang w:eastAsia="fi-FI"/>
        </w:rPr>
        <w:t>Työhyvinvointikorttikurssi</w:t>
      </w:r>
    </w:p>
    <w:p w:rsidR="00372D25" w:rsidRDefault="00372D25" w:rsidP="00372D25">
      <w:pPr>
        <w:pStyle w:val="Eivli"/>
        <w:ind w:firstLine="737"/>
        <w:jc w:val="both"/>
      </w:pPr>
      <w:r>
        <w:rPr>
          <w:snapToGrid w:val="0"/>
          <w:lang w:eastAsia="fi-FI"/>
        </w:rPr>
        <w:t>Työhyvinvointi johtamisessa</w:t>
      </w:r>
    </w:p>
    <w:p w:rsidR="00372D25" w:rsidRDefault="00372D25" w:rsidP="00372D25">
      <w:pPr>
        <w:pStyle w:val="Eivli"/>
        <w:ind w:firstLine="737"/>
        <w:jc w:val="both"/>
      </w:pPr>
      <w:r>
        <w:rPr>
          <w:snapToGrid w:val="0"/>
          <w:lang w:eastAsia="fi-FI"/>
        </w:rPr>
        <w:t>Työyhteisön toiminta</w:t>
      </w:r>
    </w:p>
    <w:p w:rsidR="00372D25" w:rsidRDefault="00372D25" w:rsidP="00372D25">
      <w:pPr>
        <w:pStyle w:val="Eivli"/>
        <w:ind w:firstLine="737"/>
        <w:jc w:val="both"/>
      </w:pPr>
      <w:r>
        <w:t>T</w:t>
      </w:r>
      <w:r>
        <w:rPr>
          <w:snapToGrid w:val="0"/>
          <w:lang w:eastAsia="fi-FI"/>
        </w:rPr>
        <w:t>erveys ja työkyky</w:t>
      </w:r>
    </w:p>
    <w:p w:rsidR="00372D25" w:rsidRDefault="00372D25" w:rsidP="00372D25">
      <w:pPr>
        <w:pStyle w:val="Eivli"/>
        <w:jc w:val="both"/>
      </w:pPr>
      <w:r>
        <w:rPr>
          <w:snapToGrid w:val="0"/>
          <w:lang w:eastAsia="fi-FI"/>
        </w:rPr>
        <w:t xml:space="preserve">Sovitettu työ ja työaikapankki </w:t>
      </w:r>
      <w:proofErr w:type="spellStart"/>
      <w:r>
        <w:rPr>
          <w:snapToGrid w:val="0"/>
          <w:lang w:eastAsia="fi-FI"/>
        </w:rPr>
        <w:t>HUS:n</w:t>
      </w:r>
      <w:proofErr w:type="spellEnd"/>
      <w:r>
        <w:rPr>
          <w:snapToGrid w:val="0"/>
          <w:lang w:eastAsia="fi-FI"/>
        </w:rPr>
        <w:t xml:space="preserve"> tapaan  </w:t>
      </w:r>
      <w:r>
        <w:rPr>
          <w:snapToGrid w:val="0"/>
          <w:lang w:eastAsia="fi-FI"/>
        </w:rPr>
        <w:tab/>
      </w:r>
    </w:p>
    <w:p w:rsidR="00372D25" w:rsidRDefault="00372D25" w:rsidP="00372D25">
      <w:pPr>
        <w:pStyle w:val="Eivli"/>
        <w:jc w:val="both"/>
      </w:pPr>
      <w:r>
        <w:rPr>
          <w:snapToGrid w:val="0"/>
          <w:lang w:eastAsia="fi-FI"/>
        </w:rPr>
        <w:t>Yhteenveto päivän teemoista</w:t>
      </w:r>
    </w:p>
    <w:p w:rsidR="00372D25" w:rsidRDefault="00372D25" w:rsidP="00372D25">
      <w:pPr>
        <w:pStyle w:val="Eivli"/>
        <w:jc w:val="both"/>
        <w:rPr>
          <w:snapToGrid w:val="0"/>
          <w:lang w:eastAsia="fi-FI"/>
        </w:rPr>
      </w:pPr>
    </w:p>
    <w:p w:rsidR="00372D25" w:rsidRDefault="00372D25" w:rsidP="00372D25">
      <w:pPr>
        <w:pStyle w:val="Eivli"/>
        <w:jc w:val="both"/>
        <w:rPr>
          <w:b/>
          <w:snapToGrid w:val="0"/>
          <w:lang w:eastAsia="fi-FI"/>
        </w:rPr>
      </w:pPr>
      <w:r>
        <w:rPr>
          <w:b/>
          <w:snapToGrid w:val="0"/>
          <w:lang w:eastAsia="fi-FI"/>
        </w:rPr>
        <w:t>3. päivä</w:t>
      </w:r>
    </w:p>
    <w:p w:rsidR="00372D25" w:rsidRDefault="00372D25" w:rsidP="00372D25">
      <w:pPr>
        <w:pStyle w:val="Eivli"/>
        <w:jc w:val="both"/>
      </w:pPr>
      <w:r>
        <w:t>Klo 9.00 – 15.00 (sis. 45 minuutin ruokailutauko)</w:t>
      </w:r>
    </w:p>
    <w:p w:rsidR="00372D25" w:rsidRDefault="00372D25" w:rsidP="00372D25">
      <w:pPr>
        <w:pStyle w:val="Eivli"/>
        <w:jc w:val="both"/>
      </w:pPr>
      <w:r>
        <w:rPr>
          <w:snapToGrid w:val="0"/>
          <w:lang w:eastAsia="fi-FI"/>
        </w:rPr>
        <w:t>Johtaminen konfliktitilanteissa</w:t>
      </w:r>
      <w:r>
        <w:rPr>
          <w:snapToGrid w:val="0"/>
          <w:lang w:eastAsia="fi-FI"/>
        </w:rPr>
        <w:tab/>
      </w:r>
    </w:p>
    <w:p w:rsidR="00372D25" w:rsidRDefault="00372D25" w:rsidP="00372D25">
      <w:pPr>
        <w:pStyle w:val="Eivli"/>
        <w:ind w:firstLine="737"/>
        <w:jc w:val="both"/>
      </w:pPr>
      <w:r>
        <w:rPr>
          <w:snapToGrid w:val="0"/>
          <w:lang w:eastAsia="fi-FI"/>
        </w:rPr>
        <w:t>Kuka johtaa?</w:t>
      </w:r>
    </w:p>
    <w:p w:rsidR="00372D25" w:rsidRDefault="00372D25" w:rsidP="00372D25">
      <w:pPr>
        <w:pStyle w:val="Eivli"/>
        <w:ind w:firstLine="737"/>
        <w:jc w:val="both"/>
      </w:pPr>
      <w:r>
        <w:t>E</w:t>
      </w:r>
      <w:r>
        <w:rPr>
          <w:snapToGrid w:val="0"/>
          <w:lang w:eastAsia="fi-FI"/>
        </w:rPr>
        <w:t>simiehen tehtävät</w:t>
      </w:r>
    </w:p>
    <w:p w:rsidR="00372D25" w:rsidRDefault="00372D25" w:rsidP="00372D25">
      <w:pPr>
        <w:pStyle w:val="Eivli"/>
        <w:ind w:firstLine="737"/>
        <w:jc w:val="both"/>
      </w:pPr>
      <w:r>
        <w:t>T</w:t>
      </w:r>
      <w:r>
        <w:rPr>
          <w:snapToGrid w:val="0"/>
          <w:lang w:eastAsia="fi-FI"/>
        </w:rPr>
        <w:t>yöntekijöiden tehtävät</w:t>
      </w:r>
    </w:p>
    <w:p w:rsidR="00372D25" w:rsidRDefault="00372D25" w:rsidP="00372D25">
      <w:pPr>
        <w:pStyle w:val="Eivli"/>
        <w:jc w:val="both"/>
        <w:rPr>
          <w:snapToGrid w:val="0"/>
          <w:lang w:eastAsia="fi-FI"/>
        </w:rPr>
      </w:pPr>
      <w:r>
        <w:rPr>
          <w:snapToGrid w:val="0"/>
          <w:lang w:eastAsia="fi-FI"/>
        </w:rPr>
        <w:t>Kuuntelemisen taito</w:t>
      </w:r>
    </w:p>
    <w:p w:rsidR="00372D25" w:rsidRDefault="00372D25" w:rsidP="00372D25">
      <w:pPr>
        <w:pStyle w:val="Eivli"/>
        <w:jc w:val="both"/>
        <w:rPr>
          <w:lang w:eastAsia="fi-FI"/>
        </w:rPr>
      </w:pPr>
      <w:r>
        <w:rPr>
          <w:lang w:eastAsia="fi-FI"/>
        </w:rPr>
        <w:t>Työsuojeluasiantuntija ja sosiaalinen media</w:t>
      </w:r>
    </w:p>
    <w:p w:rsidR="00372D25" w:rsidRDefault="00372D25" w:rsidP="00372D25">
      <w:pPr>
        <w:pStyle w:val="Eivli"/>
        <w:jc w:val="both"/>
      </w:pPr>
      <w:r>
        <w:rPr>
          <w:snapToGrid w:val="0"/>
          <w:lang w:eastAsia="fi-FI"/>
        </w:rPr>
        <w:t>Työhyvinvointikorttikoulutuksen yhteenveto ja tentti</w:t>
      </w:r>
      <w:r>
        <w:rPr>
          <w:snapToGrid w:val="0"/>
          <w:lang w:eastAsia="fi-FI"/>
        </w:rPr>
        <w:tab/>
      </w:r>
    </w:p>
    <w:p w:rsidR="00EC293E" w:rsidRDefault="00EC293E"/>
    <w:sectPr w:rsidR="00EC293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D25"/>
    <w:rsid w:val="00372D25"/>
    <w:rsid w:val="00EC293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D3008-E1F3-413D-B6DD-F239E3E2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2">
    <w:name w:val="heading 2"/>
    <w:basedOn w:val="Normaali"/>
    <w:next w:val="Normaali"/>
    <w:link w:val="Otsikko2Char"/>
    <w:uiPriority w:val="9"/>
    <w:semiHidden/>
    <w:unhideWhenUsed/>
    <w:qFormat/>
    <w:rsid w:val="00372D25"/>
    <w:pPr>
      <w:keepNext/>
      <w:keepLines/>
      <w:spacing w:before="240" w:after="120" w:line="276" w:lineRule="auto"/>
      <w:outlineLvl w:val="1"/>
    </w:pPr>
    <w:rPr>
      <w:rFonts w:asciiTheme="majorHAnsi" w:eastAsiaTheme="majorEastAsia" w:hAnsiTheme="majorHAnsi" w:cstheme="majorBidi"/>
      <w:b/>
      <w:color w:val="00B050"/>
      <w:sz w:val="28"/>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semiHidden/>
    <w:rsid w:val="00372D25"/>
    <w:rPr>
      <w:rFonts w:asciiTheme="majorHAnsi" w:eastAsiaTheme="majorEastAsia" w:hAnsiTheme="majorHAnsi" w:cstheme="majorBidi"/>
      <w:b/>
      <w:color w:val="00B050"/>
      <w:sz w:val="28"/>
      <w:szCs w:val="26"/>
    </w:rPr>
  </w:style>
  <w:style w:type="character" w:styleId="Hyperlinkki">
    <w:name w:val="Hyperlink"/>
    <w:basedOn w:val="Kappaleenoletusfontti"/>
    <w:uiPriority w:val="99"/>
    <w:semiHidden/>
    <w:unhideWhenUsed/>
    <w:rsid w:val="00372D25"/>
    <w:rPr>
      <w:color w:val="0563C1" w:themeColor="hyperlink"/>
      <w:u w:val="single"/>
    </w:rPr>
  </w:style>
  <w:style w:type="character" w:customStyle="1" w:styleId="EivliChar">
    <w:name w:val="Ei väliä Char"/>
    <w:basedOn w:val="Kappaleenoletusfontti"/>
    <w:link w:val="Eivli"/>
    <w:uiPriority w:val="1"/>
    <w:locked/>
    <w:rsid w:val="00372D25"/>
    <w:rPr>
      <w:sz w:val="24"/>
    </w:rPr>
  </w:style>
  <w:style w:type="paragraph" w:styleId="Eivli">
    <w:name w:val="No Spacing"/>
    <w:link w:val="EivliChar"/>
    <w:uiPriority w:val="1"/>
    <w:qFormat/>
    <w:rsid w:val="00372D25"/>
    <w:pPr>
      <w:spacing w:after="0" w:line="240" w:lineRule="auto"/>
      <w:ind w:left="567"/>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71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yohyvinvointikortti.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1807</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Lahtivirta Tiina</dc:creator>
  <cp:keywords/>
  <dc:description/>
  <cp:lastModifiedBy>Lahtivirta Tiina</cp:lastModifiedBy>
  <cp:revision>1</cp:revision>
  <dcterms:created xsi:type="dcterms:W3CDTF">2018-11-05T14:34:00Z</dcterms:created>
  <dcterms:modified xsi:type="dcterms:W3CDTF">2018-11-05T14:34:00Z</dcterms:modified>
</cp:coreProperties>
</file>